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contextualSpacing/>
        <w:jc w:val="left"/>
        <w:rPr>
          <w:rFonts w:hint="eastAsia" w:ascii="黑体" w:hAnsi="黑体" w:eastAsia="黑体" w:cs="黑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新疆能源（集团）产业链有限责任公司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物流运输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竞价申请表</w:t>
      </w:r>
    </w:p>
    <w:tbl>
      <w:tblPr>
        <w:tblStyle w:val="8"/>
        <w:tblpPr w:leftFromText="180" w:rightFromText="180" w:vertAnchor="text" w:horzAnchor="page" w:tblpX="1214" w:tblpY="422"/>
        <w:tblOverlap w:val="never"/>
        <w:tblW w:w="9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490"/>
        <w:gridCol w:w="1483"/>
        <w:gridCol w:w="1276"/>
        <w:gridCol w:w="1121"/>
        <w:gridCol w:w="1220"/>
        <w:gridCol w:w="1168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起运地点</w:t>
            </w:r>
          </w:p>
        </w:tc>
        <w:tc>
          <w:tcPr>
            <w:tcW w:w="1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到站地区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到达地点</w:t>
            </w:r>
          </w:p>
        </w:tc>
        <w:tc>
          <w:tcPr>
            <w:tcW w:w="11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运输价格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运距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路径描述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三塘湖石头梅矿区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哈密地区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巴里坤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淖毛湖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工业园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花园子站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烟墩站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骆驼圈子站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山口站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二电厂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甘肃地区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军垦站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嘉峪关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（绿化站）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酒钢料场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常乐电厂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瓜州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柳沟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低窝铺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玉门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金昌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青铜峡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中卫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宁东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吴中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惠农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9"/>
                <w:sz w:val="21"/>
                <w:szCs w:val="21"/>
                <w:highlight w:val="none"/>
                <w:lang w:val="en-US" w:eastAsia="zh-CN" w:bidi="ar"/>
              </w:rPr>
              <w:t>以上报价为起运地点至产业链公司指定终端用户的包到价格（包括但不限于运输费、装卸费、运杂费、9%增值税专用发票等），不再另行收取任何费用。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2.本报价自报出之日起30日内有效。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3.竞价单位根据自身能力选择《物流运输竞价申请表》中载明的运输线路一条或多条进行报价。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2520" w:firstLineChars="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报价日期：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联系地址：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（报价单位签字并盖章）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firstLine="0" w:firstLineChars="0"/>
        <w:rPr>
          <w:rFonts w:eastAsia="宋体"/>
          <w:highlight w:val="none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